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BB5179" w14:paraId="4C62C355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74871" w14:textId="77777777" w:rsidR="00BB5179" w:rsidRDefault="00000000">
            <w:pPr>
              <w:spacing w:after="0" w:line="240" w:lineRule="auto"/>
            </w:pPr>
            <w:r>
              <w:rPr>
                <w:rFonts w:ascii="Montserrat" w:hAnsi="Montserrat" w:cs="Calibri Light"/>
                <w:b/>
                <w:bCs/>
                <w:noProof/>
                <w:color w:val="00206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2276ABD" wp14:editId="6D36C427">
                  <wp:simplePos x="0" y="0"/>
                  <wp:positionH relativeFrom="margin">
                    <wp:posOffset>-63495</wp:posOffset>
                  </wp:positionH>
                  <wp:positionV relativeFrom="margin">
                    <wp:posOffset>0</wp:posOffset>
                  </wp:positionV>
                  <wp:extent cx="1333496" cy="1325880"/>
                  <wp:effectExtent l="0" t="0" r="4" b="7620"/>
                  <wp:wrapSquare wrapText="bothSides"/>
                  <wp:docPr id="1915608570" name="Image 1" descr="Une image contenant texte, logo, Police, Graphique&#10;&#10;Description générée automatiqueme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 l="36755" t="27252" r="32120" b="295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96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B5179" w14:paraId="0A6E0D12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C7B23" w14:textId="77777777" w:rsidR="00BB5179" w:rsidRDefault="00000000">
            <w:pPr>
              <w:spacing w:after="0" w:line="240" w:lineRule="auto"/>
              <w:jc w:val="right"/>
              <w:rPr>
                <w:rFonts w:ascii="Montserrat" w:hAnsi="Montserrat" w:cs="Calibri Light"/>
                <w:b/>
                <w:bCs/>
                <w:color w:val="27348B"/>
                <w:sz w:val="28"/>
                <w:szCs w:val="28"/>
              </w:rPr>
            </w:pPr>
            <w:r>
              <w:rPr>
                <w:rFonts w:ascii="Montserrat" w:hAnsi="Montserrat" w:cs="Calibri Light"/>
                <w:b/>
                <w:bCs/>
                <w:color w:val="27348B"/>
                <w:sz w:val="28"/>
                <w:szCs w:val="28"/>
              </w:rPr>
              <w:t>Communiqué de presse</w:t>
            </w:r>
          </w:p>
          <w:p w14:paraId="223C9D5F" w14:textId="77777777" w:rsidR="00BB5179" w:rsidRDefault="00000000">
            <w:pPr>
              <w:spacing w:after="0" w:line="240" w:lineRule="auto"/>
              <w:jc w:val="right"/>
              <w:rPr>
                <w:rFonts w:ascii="Montserrat" w:hAnsi="Montserrat" w:cs="Calibri Light"/>
                <w:i/>
                <w:iCs/>
                <w:color w:val="404040"/>
              </w:rPr>
            </w:pPr>
            <w:r>
              <w:rPr>
                <w:rFonts w:ascii="Montserrat" w:hAnsi="Montserrat" w:cs="Calibri Light"/>
                <w:i/>
                <w:iCs/>
                <w:color w:val="404040"/>
              </w:rPr>
              <w:t>Montpellier, le 6/11/2023</w:t>
            </w:r>
          </w:p>
        </w:tc>
      </w:tr>
      <w:tr w:rsidR="00BB5179" w14:paraId="5E79AF37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830EC" w14:textId="77777777" w:rsidR="00BB5179" w:rsidRDefault="00BB5179">
            <w:pPr>
              <w:spacing w:after="0" w:line="240" w:lineRule="auto"/>
              <w:rPr>
                <w:rFonts w:ascii="Montserrat" w:hAnsi="Montserrat"/>
                <w:b/>
                <w:bCs/>
                <w:color w:val="002060"/>
                <w:sz w:val="28"/>
                <w:szCs w:val="28"/>
              </w:rPr>
            </w:pPr>
          </w:p>
        </w:tc>
      </w:tr>
      <w:tr w:rsidR="00BB5179" w14:paraId="6B178E79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3B6E1" w14:textId="77777777" w:rsidR="00BB5179" w:rsidRDefault="00BB5179">
            <w:pPr>
              <w:pStyle w:val="Titre"/>
            </w:pPr>
          </w:p>
          <w:p w14:paraId="29CBD724" w14:textId="77777777" w:rsidR="00BB5179" w:rsidRDefault="00000000">
            <w:pPr>
              <w:spacing w:after="0" w:line="240" w:lineRule="auto"/>
              <w:jc w:val="center"/>
              <w:rPr>
                <w:rFonts w:ascii="Montserrat" w:eastAsia="Times New Roman" w:hAnsi="Montserrat"/>
                <w:b/>
                <w:bCs/>
                <w:color w:val="2F5496"/>
                <w:sz w:val="28"/>
                <w:szCs w:val="28"/>
              </w:rPr>
            </w:pPr>
            <w:r>
              <w:rPr>
                <w:rFonts w:ascii="Montserrat" w:eastAsia="Times New Roman" w:hAnsi="Montserrat"/>
                <w:b/>
                <w:bCs/>
                <w:color w:val="2F5496"/>
                <w:sz w:val="28"/>
                <w:szCs w:val="28"/>
              </w:rPr>
              <w:t xml:space="preserve">Montpellier Business </w:t>
            </w:r>
            <w:proofErr w:type="spellStart"/>
            <w:r>
              <w:rPr>
                <w:rFonts w:ascii="Montserrat" w:eastAsia="Times New Roman" w:hAnsi="Montserrat"/>
                <w:b/>
                <w:bCs/>
                <w:color w:val="2F5496"/>
                <w:sz w:val="28"/>
                <w:szCs w:val="28"/>
              </w:rPr>
              <w:t>School</w:t>
            </w:r>
            <w:proofErr w:type="spellEnd"/>
            <w:r>
              <w:rPr>
                <w:rFonts w:ascii="Montserrat" w:eastAsia="Times New Roman" w:hAnsi="Montserrat"/>
                <w:b/>
                <w:bCs/>
                <w:color w:val="2F5496"/>
                <w:sz w:val="28"/>
                <w:szCs w:val="28"/>
              </w:rPr>
              <w:t xml:space="preserve"> annonce la création et la refonte de deux programmes </w:t>
            </w:r>
            <w:proofErr w:type="spellStart"/>
            <w:r>
              <w:rPr>
                <w:rFonts w:ascii="Montserrat" w:eastAsia="Times New Roman" w:hAnsi="Montserrat"/>
                <w:b/>
                <w:bCs/>
                <w:color w:val="2F5496"/>
                <w:sz w:val="28"/>
                <w:szCs w:val="28"/>
              </w:rPr>
              <w:t>MSc</w:t>
            </w:r>
            <w:proofErr w:type="spellEnd"/>
            <w:r>
              <w:rPr>
                <w:rFonts w:ascii="Montserrat" w:eastAsia="Times New Roman" w:hAnsi="Montserrat"/>
                <w:b/>
                <w:bCs/>
                <w:color w:val="2F5496"/>
                <w:sz w:val="28"/>
                <w:szCs w:val="28"/>
              </w:rPr>
              <w:t xml:space="preserve"> pour la rentrée de septembre 2024</w:t>
            </w:r>
          </w:p>
          <w:p w14:paraId="0C094E3B" w14:textId="77777777" w:rsidR="00BB5179" w:rsidRDefault="00BB5179">
            <w:pPr>
              <w:spacing w:after="0" w:line="240" w:lineRule="auto"/>
              <w:rPr>
                <w:rFonts w:ascii="Montserrat" w:hAnsi="Montserrat"/>
                <w:sz w:val="20"/>
                <w:szCs w:val="20"/>
              </w:rPr>
            </w:pPr>
          </w:p>
          <w:p w14:paraId="5C0AF237" w14:textId="77777777" w:rsidR="00BB5179" w:rsidRDefault="00000000">
            <w:pPr>
              <w:spacing w:after="0" w:line="240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Pour répondre aux besoins actuels des recruteurs, Montpellier Business </w:t>
            </w:r>
            <w:proofErr w:type="spellStart"/>
            <w:r>
              <w:rPr>
                <w:rFonts w:ascii="Montserrat" w:hAnsi="Montserrat"/>
                <w:b/>
                <w:bCs/>
                <w:sz w:val="20"/>
                <w:szCs w:val="20"/>
              </w:rPr>
              <w:t>School</w:t>
            </w:r>
            <w:proofErr w:type="spellEnd"/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 (MBS) annonce une réforme de son Master of Science (</w:t>
            </w:r>
            <w:proofErr w:type="spellStart"/>
            <w:r>
              <w:rPr>
                <w:rFonts w:ascii="Montserrat" w:hAnsi="Montserrat"/>
                <w:b/>
                <w:bCs/>
                <w:sz w:val="20"/>
                <w:szCs w:val="20"/>
              </w:rPr>
              <w:t>MSc</w:t>
            </w:r>
            <w:proofErr w:type="spellEnd"/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) Global Business et ouvre un nouveau programme pour la rentrée de septembre 2024 : le </w:t>
            </w:r>
            <w:proofErr w:type="spellStart"/>
            <w:r>
              <w:rPr>
                <w:rFonts w:ascii="Montserrat" w:hAnsi="Montserrat"/>
                <w:b/>
                <w:bCs/>
                <w:sz w:val="20"/>
                <w:szCs w:val="20"/>
              </w:rPr>
              <w:t>MSc</w:t>
            </w:r>
            <w:proofErr w:type="spellEnd"/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hAnsi="Montserrat"/>
                <w:b/>
                <w:bCs/>
                <w:sz w:val="20"/>
                <w:szCs w:val="20"/>
              </w:rPr>
              <w:t>Complex</w:t>
            </w:r>
            <w:proofErr w:type="spellEnd"/>
            <w:r>
              <w:rPr>
                <w:rFonts w:ascii="Montserrat" w:hAnsi="Montserrat"/>
                <w:b/>
                <w:bCs/>
                <w:sz w:val="20"/>
                <w:szCs w:val="20"/>
              </w:rPr>
              <w:t xml:space="preserve"> Project Management, une nouvelle spécialisation garantissant aux diplômés une employabilité optimale tant en France qu'à l'international.</w:t>
            </w:r>
          </w:p>
          <w:p w14:paraId="2AFB1E72" w14:textId="77777777" w:rsidR="00BB5179" w:rsidRDefault="00BB5179">
            <w:pPr>
              <w:spacing w:after="0" w:line="240" w:lineRule="auto"/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  <w:p w14:paraId="7ECBB58E" w14:textId="77777777" w:rsidR="00BB5179" w:rsidRDefault="00000000">
            <w:pPr>
              <w:pStyle w:val="Titre2"/>
              <w:spacing w:line="240" w:lineRule="auto"/>
              <w:jc w:val="both"/>
              <w:rPr>
                <w:rFonts w:ascii="Montserrat" w:hAnsi="Montserrat"/>
                <w:b/>
                <w:bCs/>
                <w:sz w:val="24"/>
                <w:szCs w:val="24"/>
              </w:rPr>
            </w:pPr>
            <w:r>
              <w:rPr>
                <w:rFonts w:ascii="Montserrat" w:hAnsi="Montserrat"/>
                <w:b/>
                <w:bCs/>
                <w:sz w:val="24"/>
                <w:szCs w:val="24"/>
              </w:rPr>
              <w:t xml:space="preserve">Répondre aux besoins d’agilité des entreprises avec le </w:t>
            </w:r>
            <w:proofErr w:type="spellStart"/>
            <w:r>
              <w:rPr>
                <w:rFonts w:ascii="Montserrat" w:hAnsi="Montserrat"/>
                <w:b/>
                <w:bCs/>
                <w:sz w:val="24"/>
                <w:szCs w:val="24"/>
              </w:rPr>
              <w:t>MSc</w:t>
            </w:r>
            <w:proofErr w:type="spellEnd"/>
            <w:r>
              <w:rPr>
                <w:rFonts w:ascii="Montserrat" w:hAnsi="Montserrat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ontserrat" w:hAnsi="Montserrat"/>
                <w:b/>
                <w:bCs/>
                <w:sz w:val="24"/>
                <w:szCs w:val="24"/>
              </w:rPr>
              <w:t>Complex</w:t>
            </w:r>
            <w:proofErr w:type="spellEnd"/>
            <w:r>
              <w:rPr>
                <w:rFonts w:ascii="Montserrat" w:hAnsi="Montserrat"/>
                <w:b/>
                <w:bCs/>
                <w:sz w:val="24"/>
                <w:szCs w:val="24"/>
              </w:rPr>
              <w:t xml:space="preserve"> Project Management</w:t>
            </w:r>
          </w:p>
          <w:p w14:paraId="680106FD" w14:textId="77777777" w:rsidR="00BB5179" w:rsidRDefault="00000000">
            <w:pPr>
              <w:spacing w:after="0" w:line="240" w:lineRule="auto"/>
              <w:jc w:val="both"/>
            </w:pPr>
            <w:r>
              <w:rPr>
                <w:rFonts w:ascii="Montserrat" w:hAnsi="Montserrat"/>
                <w:sz w:val="20"/>
                <w:szCs w:val="20"/>
              </w:rPr>
              <w:t xml:space="preserve">Pour rappel, les </w:t>
            </w:r>
            <w:hyperlink r:id="rId7" w:history="1">
              <w:r>
                <w:rPr>
                  <w:rStyle w:val="Lienhypertexte"/>
                  <w:rFonts w:ascii="Montserrat" w:hAnsi="Montserrat"/>
                  <w:sz w:val="20"/>
                  <w:szCs w:val="20"/>
                </w:rPr>
                <w:t xml:space="preserve">programmes </w:t>
              </w:r>
              <w:proofErr w:type="spellStart"/>
              <w:r>
                <w:rPr>
                  <w:rStyle w:val="Lienhypertexte"/>
                  <w:rFonts w:ascii="Montserrat" w:hAnsi="Montserrat"/>
                  <w:sz w:val="20"/>
                  <w:szCs w:val="20"/>
                </w:rPr>
                <w:t>MSc</w:t>
              </w:r>
              <w:proofErr w:type="spellEnd"/>
            </w:hyperlink>
            <w:r>
              <w:rPr>
                <w:rFonts w:ascii="Montserrat" w:hAnsi="Montserrat"/>
                <w:sz w:val="20"/>
                <w:szCs w:val="20"/>
              </w:rPr>
              <w:t xml:space="preserve"> de MBS délivrent des diplômes 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>Bac+5, visés</w:t>
            </w:r>
            <w:r>
              <w:rPr>
                <w:rFonts w:ascii="Montserrat" w:hAnsi="Montserrat"/>
                <w:sz w:val="20"/>
                <w:szCs w:val="20"/>
              </w:rPr>
              <w:t xml:space="preserve"> par le ministère de l’Enseignement Supérieur et de la Recherche, et certifiés 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>RNCP</w:t>
            </w:r>
            <w:r>
              <w:rPr>
                <w:rFonts w:ascii="Montserrat" w:hAnsi="Montserrat"/>
                <w:sz w:val="20"/>
                <w:szCs w:val="20"/>
              </w:rPr>
              <w:t xml:space="preserve">. Ils s'adressent aux candidats titulaires d'un diplôme de niveau Bac+4 ou équivalent, intégrant le cursus 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>en un an</w:t>
            </w:r>
            <w:r>
              <w:rPr>
                <w:rFonts w:ascii="Montserrat" w:hAnsi="Montserrat"/>
                <w:sz w:val="20"/>
                <w:szCs w:val="20"/>
              </w:rPr>
              <w:t xml:space="preserve"> (1-year </w:t>
            </w:r>
            <w:proofErr w:type="spellStart"/>
            <w:r>
              <w:rPr>
                <w:rFonts w:ascii="Montserrat" w:hAnsi="Montserrat"/>
                <w:sz w:val="20"/>
                <w:szCs w:val="20"/>
              </w:rPr>
              <w:t>MSc</w:t>
            </w:r>
            <w:proofErr w:type="spellEnd"/>
            <w:r>
              <w:rPr>
                <w:rFonts w:ascii="Montserrat" w:hAnsi="Montserrat"/>
                <w:sz w:val="20"/>
                <w:szCs w:val="20"/>
              </w:rPr>
              <w:t xml:space="preserve">), et aux candidats titulaires d'un diplôme de niveau Bac +3 ou équivalent, intégrant le cursus 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>en deux ans</w:t>
            </w:r>
            <w:r>
              <w:rPr>
                <w:rFonts w:ascii="Montserrat" w:hAnsi="Montserrat"/>
                <w:sz w:val="20"/>
                <w:szCs w:val="20"/>
              </w:rPr>
              <w:t xml:space="preserve"> (2-year </w:t>
            </w:r>
            <w:proofErr w:type="spellStart"/>
            <w:r>
              <w:rPr>
                <w:rFonts w:ascii="Montserrat" w:hAnsi="Montserrat"/>
                <w:sz w:val="20"/>
                <w:szCs w:val="20"/>
              </w:rPr>
              <w:t>MSc</w:t>
            </w:r>
            <w:proofErr w:type="spellEnd"/>
            <w:r>
              <w:rPr>
                <w:rFonts w:ascii="Montserrat" w:hAnsi="Montserrat"/>
                <w:sz w:val="20"/>
                <w:szCs w:val="20"/>
              </w:rPr>
              <w:t>).</w:t>
            </w:r>
          </w:p>
          <w:p w14:paraId="0A76023D" w14:textId="77777777" w:rsidR="00BB5179" w:rsidRDefault="00BB5179">
            <w:pPr>
              <w:spacing w:after="0" w:line="240" w:lineRule="auto"/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6C4087F8" w14:textId="77777777" w:rsidR="00BB5179" w:rsidRDefault="00000000">
            <w:pPr>
              <w:spacing w:after="0" w:line="240" w:lineRule="auto"/>
              <w:jc w:val="both"/>
            </w:pPr>
            <w:r>
              <w:rPr>
                <w:rFonts w:ascii="Montserrat" w:hAnsi="Montserrat"/>
                <w:sz w:val="20"/>
                <w:szCs w:val="20"/>
              </w:rPr>
              <w:t xml:space="preserve">A la rentrée 2024, les étudiants auront l’opportunité de rejoindre le </w:t>
            </w:r>
            <w:hyperlink r:id="rId8" w:history="1">
              <w:proofErr w:type="spellStart"/>
              <w:r>
                <w:rPr>
                  <w:rStyle w:val="Lienhypertexte"/>
                  <w:rFonts w:ascii="Montserrat" w:hAnsi="Montserrat"/>
                  <w:b/>
                  <w:bCs/>
                  <w:sz w:val="20"/>
                  <w:szCs w:val="20"/>
                </w:rPr>
                <w:t>MSc</w:t>
              </w:r>
              <w:proofErr w:type="spellEnd"/>
              <w:r>
                <w:rPr>
                  <w:rStyle w:val="Lienhypertexte"/>
                  <w:rFonts w:ascii="Montserrat" w:hAnsi="Montserrat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Style w:val="Lienhypertexte"/>
                  <w:rFonts w:ascii="Montserrat" w:hAnsi="Montserrat"/>
                  <w:b/>
                  <w:bCs/>
                  <w:sz w:val="20"/>
                  <w:szCs w:val="20"/>
                </w:rPr>
                <w:t>Complex</w:t>
              </w:r>
              <w:proofErr w:type="spellEnd"/>
              <w:r>
                <w:rPr>
                  <w:rStyle w:val="Lienhypertexte"/>
                  <w:rFonts w:ascii="Montserrat" w:hAnsi="Montserrat"/>
                  <w:b/>
                  <w:bCs/>
                  <w:sz w:val="20"/>
                  <w:szCs w:val="20"/>
                </w:rPr>
                <w:t xml:space="preserve"> Project Management</w:t>
              </w:r>
            </w:hyperlink>
            <w:r>
              <w:rPr>
                <w:rFonts w:ascii="Montserrat" w:hAnsi="Montserrat"/>
                <w:sz w:val="20"/>
                <w:szCs w:val="20"/>
              </w:rPr>
              <w:t xml:space="preserve">, dirigé par Dr. Alec </w:t>
            </w:r>
            <w:proofErr w:type="spellStart"/>
            <w:r>
              <w:rPr>
                <w:rFonts w:ascii="Montserrat" w:hAnsi="Montserrat"/>
                <w:sz w:val="20"/>
                <w:szCs w:val="20"/>
              </w:rPr>
              <w:t>Waterworth</w:t>
            </w:r>
            <w:proofErr w:type="spellEnd"/>
            <w:r>
              <w:rPr>
                <w:rFonts w:ascii="Montserrat" w:hAnsi="Montserrat"/>
                <w:sz w:val="20"/>
                <w:szCs w:val="20"/>
              </w:rPr>
              <w:t>. « </w:t>
            </w:r>
            <w:r>
              <w:rPr>
                <w:rFonts w:ascii="Montserrat" w:hAnsi="Montserrat"/>
                <w:i/>
                <w:iCs/>
                <w:sz w:val="20"/>
                <w:szCs w:val="20"/>
              </w:rPr>
              <w:t>Face à la multiplicité des crises, les entreprises se doivent d’être agiles et d’adopter un management plus transversal, faisant de la gestion de projets l’une des compétences les plus recherchées par les recruteurs</w:t>
            </w:r>
            <w:r>
              <w:rPr>
                <w:rFonts w:ascii="Montserrat" w:hAnsi="Montserrat"/>
                <w:sz w:val="20"/>
                <w:szCs w:val="20"/>
              </w:rPr>
              <w:t xml:space="preserve">. » précise l’Enseignant-Chercheur. Management de 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>l’innovation</w:t>
            </w:r>
            <w:r>
              <w:rPr>
                <w:rFonts w:ascii="Montserrat" w:hAnsi="Montserrat"/>
                <w:sz w:val="20"/>
                <w:szCs w:val="20"/>
              </w:rPr>
              <w:t xml:space="preserve">, 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>leadership</w:t>
            </w:r>
            <w:r>
              <w:rPr>
                <w:rFonts w:ascii="Montserrat" w:hAnsi="Montserrat"/>
                <w:sz w:val="20"/>
                <w:szCs w:val="20"/>
              </w:rPr>
              <w:t xml:space="preserve">, accompagnement au 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>changement</w:t>
            </w:r>
            <w:r>
              <w:rPr>
                <w:rFonts w:ascii="Montserrat" w:hAnsi="Montserrat"/>
                <w:sz w:val="20"/>
                <w:szCs w:val="20"/>
              </w:rPr>
              <w:t> : ce programme vise donc à former des leaders qui sauront fédérer une équipe et naviguer efficacement dans des projets complexes. </w:t>
            </w:r>
          </w:p>
          <w:p w14:paraId="02AD1C93" w14:textId="77777777" w:rsidR="00BB5179" w:rsidRDefault="00BB5179">
            <w:pPr>
              <w:spacing w:after="0" w:line="240" w:lineRule="auto"/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462DE109" w14:textId="77777777" w:rsidR="00BB5179" w:rsidRDefault="00000000">
            <w:pPr>
              <w:spacing w:after="0" w:line="240" w:lineRule="auto"/>
              <w:jc w:val="both"/>
              <w:rPr>
                <w:rFonts w:ascii="Montserrat" w:eastAsia="Times New Roman" w:hAnsi="Montserrat"/>
                <w:b/>
                <w:bCs/>
                <w:color w:val="2F5496"/>
                <w:sz w:val="24"/>
                <w:szCs w:val="24"/>
              </w:rPr>
            </w:pPr>
            <w:r>
              <w:rPr>
                <w:rFonts w:ascii="Montserrat" w:eastAsia="Times New Roman" w:hAnsi="Montserrat"/>
                <w:b/>
                <w:bCs/>
                <w:color w:val="2F5496"/>
                <w:sz w:val="24"/>
                <w:szCs w:val="24"/>
              </w:rPr>
              <w:t xml:space="preserve">Autre nouveauté : le </w:t>
            </w:r>
            <w:proofErr w:type="spellStart"/>
            <w:r>
              <w:rPr>
                <w:rFonts w:ascii="Montserrat" w:eastAsia="Times New Roman" w:hAnsi="Montserrat"/>
                <w:b/>
                <w:bCs/>
                <w:color w:val="2F5496"/>
                <w:sz w:val="24"/>
                <w:szCs w:val="24"/>
              </w:rPr>
              <w:t>MSc</w:t>
            </w:r>
            <w:proofErr w:type="spellEnd"/>
            <w:r>
              <w:rPr>
                <w:rFonts w:ascii="Montserrat" w:eastAsia="Times New Roman" w:hAnsi="Montserrat"/>
                <w:b/>
                <w:bCs/>
                <w:color w:val="2F5496"/>
                <w:sz w:val="24"/>
                <w:szCs w:val="24"/>
              </w:rPr>
              <w:t xml:space="preserve"> Global Finance évolue et devient le </w:t>
            </w:r>
            <w:proofErr w:type="spellStart"/>
            <w:r>
              <w:rPr>
                <w:rFonts w:ascii="Montserrat" w:eastAsia="Times New Roman" w:hAnsi="Montserrat"/>
                <w:b/>
                <w:bCs/>
                <w:color w:val="2F5496"/>
                <w:sz w:val="24"/>
                <w:szCs w:val="24"/>
              </w:rPr>
              <w:t>MSc</w:t>
            </w:r>
            <w:proofErr w:type="spellEnd"/>
            <w:r>
              <w:rPr>
                <w:rFonts w:ascii="Montserrat" w:eastAsia="Times New Roman" w:hAnsi="Montserrat"/>
                <w:b/>
                <w:bCs/>
                <w:color w:val="2F5496"/>
                <w:sz w:val="24"/>
                <w:szCs w:val="24"/>
              </w:rPr>
              <w:t xml:space="preserve"> Global Finance in a </w:t>
            </w:r>
            <w:proofErr w:type="spellStart"/>
            <w:r>
              <w:rPr>
                <w:rFonts w:ascii="Montserrat" w:eastAsia="Times New Roman" w:hAnsi="Montserrat"/>
                <w:b/>
                <w:bCs/>
                <w:color w:val="2F5496"/>
                <w:sz w:val="24"/>
                <w:szCs w:val="24"/>
              </w:rPr>
              <w:t>Sustainable</w:t>
            </w:r>
            <w:proofErr w:type="spellEnd"/>
            <w:r>
              <w:rPr>
                <w:rFonts w:ascii="Montserrat" w:eastAsia="Times New Roman" w:hAnsi="Montserrat"/>
                <w:b/>
                <w:bCs/>
                <w:color w:val="2F5496"/>
                <w:sz w:val="24"/>
                <w:szCs w:val="24"/>
              </w:rPr>
              <w:t xml:space="preserve"> World</w:t>
            </w:r>
          </w:p>
          <w:p w14:paraId="691EE17F" w14:textId="77777777" w:rsidR="00BB5179" w:rsidRDefault="00000000">
            <w:pPr>
              <w:pStyle w:val="NormalWeb"/>
              <w:shd w:val="clear" w:color="auto" w:fill="FFFFFF"/>
              <w:spacing w:before="0"/>
              <w:jc w:val="both"/>
            </w:pPr>
            <w:r>
              <w:rPr>
                <w:rFonts w:ascii="Montserrat" w:eastAsia="Calibri" w:hAnsi="Montserrat"/>
                <w:sz w:val="20"/>
                <w:szCs w:val="20"/>
                <w:lang w:eastAsia="en-US"/>
              </w:rPr>
              <w:t xml:space="preserve">A la rentrée de septembre 2024, le </w:t>
            </w:r>
            <w:proofErr w:type="spellStart"/>
            <w:r>
              <w:rPr>
                <w:rFonts w:ascii="Montserrat" w:eastAsia="Calibri" w:hAnsi="Montserrat"/>
                <w:sz w:val="20"/>
                <w:szCs w:val="20"/>
                <w:lang w:eastAsia="en-US"/>
              </w:rPr>
              <w:t>MSc</w:t>
            </w:r>
            <w:proofErr w:type="spellEnd"/>
            <w:r>
              <w:rPr>
                <w:rFonts w:ascii="Montserrat" w:eastAsia="Calibri" w:hAnsi="Montserrat"/>
                <w:sz w:val="20"/>
                <w:szCs w:val="20"/>
                <w:lang w:eastAsia="en-US"/>
              </w:rPr>
              <w:t xml:space="preserve"> Global Finance deviendra le </w:t>
            </w:r>
            <w:hyperlink r:id="rId9" w:history="1">
              <w:proofErr w:type="spellStart"/>
              <w:r>
                <w:rPr>
                  <w:rStyle w:val="Lienhypertexte"/>
                  <w:rFonts w:ascii="Montserrat" w:eastAsia="Calibri" w:hAnsi="Montserrat"/>
                  <w:b/>
                  <w:bCs/>
                  <w:sz w:val="20"/>
                  <w:szCs w:val="20"/>
                  <w:lang w:eastAsia="en-US"/>
                </w:rPr>
                <w:t>MSc</w:t>
              </w:r>
              <w:proofErr w:type="spellEnd"/>
              <w:r>
                <w:rPr>
                  <w:rStyle w:val="Lienhypertexte"/>
                  <w:rFonts w:ascii="Montserrat" w:eastAsia="Calibri" w:hAnsi="Montserrat"/>
                  <w:b/>
                  <w:bCs/>
                  <w:sz w:val="20"/>
                  <w:szCs w:val="20"/>
                  <w:lang w:eastAsia="en-US"/>
                </w:rPr>
                <w:t xml:space="preserve"> Global Finance in a </w:t>
              </w:r>
              <w:proofErr w:type="spellStart"/>
              <w:r>
                <w:rPr>
                  <w:rStyle w:val="Lienhypertexte"/>
                  <w:rFonts w:ascii="Montserrat" w:eastAsia="Calibri" w:hAnsi="Montserrat"/>
                  <w:b/>
                  <w:bCs/>
                  <w:sz w:val="20"/>
                  <w:szCs w:val="20"/>
                  <w:lang w:eastAsia="en-US"/>
                </w:rPr>
                <w:t>Sustainable</w:t>
              </w:r>
              <w:proofErr w:type="spellEnd"/>
              <w:r>
                <w:rPr>
                  <w:rStyle w:val="Lienhypertexte"/>
                  <w:rFonts w:ascii="Montserrat" w:eastAsia="Calibri" w:hAnsi="Montserrat"/>
                  <w:b/>
                  <w:bCs/>
                  <w:sz w:val="20"/>
                  <w:szCs w:val="20"/>
                  <w:lang w:eastAsia="en-US"/>
                </w:rPr>
                <w:t xml:space="preserve"> World</w:t>
              </w:r>
            </w:hyperlink>
            <w:r>
              <w:rPr>
                <w:rFonts w:ascii="Montserrat" w:eastAsia="Calibri" w:hAnsi="Montserrat"/>
                <w:b/>
                <w:bCs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Montserrat" w:eastAsia="Calibri" w:hAnsi="Montserrat"/>
                <w:sz w:val="20"/>
                <w:szCs w:val="20"/>
                <w:lang w:eastAsia="en-US"/>
              </w:rPr>
              <w:t xml:space="preserve">pour faire écho à la volonté de MBS de renforcer les modules pédagogiques en lien avec la </w:t>
            </w:r>
            <w:r>
              <w:rPr>
                <w:rFonts w:ascii="Montserrat" w:eastAsia="Calibri" w:hAnsi="Montserrat"/>
                <w:b/>
                <w:bCs/>
                <w:sz w:val="20"/>
                <w:szCs w:val="20"/>
                <w:lang w:eastAsia="en-US"/>
              </w:rPr>
              <w:t>finance durable</w:t>
            </w:r>
            <w:r>
              <w:rPr>
                <w:rFonts w:ascii="Montserrat" w:eastAsia="Calibri" w:hAnsi="Montserrat"/>
                <w:sz w:val="20"/>
                <w:szCs w:val="20"/>
                <w:lang w:eastAsia="en-US"/>
              </w:rPr>
              <w:t xml:space="preserve"> et la responsabilité sociale des entreprises dans le secteur financier. </w:t>
            </w:r>
          </w:p>
          <w:p w14:paraId="60BDC410" w14:textId="77777777" w:rsidR="00BB5179" w:rsidRDefault="00000000">
            <w:pPr>
              <w:pStyle w:val="NormalWeb"/>
              <w:shd w:val="clear" w:color="auto" w:fill="FFFFFF"/>
              <w:spacing w:before="0"/>
              <w:jc w:val="both"/>
            </w:pPr>
            <w:r>
              <w:rPr>
                <w:rFonts w:ascii="Montserrat" w:eastAsia="Calibri" w:hAnsi="Montserrat"/>
                <w:sz w:val="20"/>
                <w:szCs w:val="20"/>
                <w:lang w:eastAsia="en-US"/>
              </w:rPr>
              <w:t>« </w:t>
            </w:r>
            <w:r>
              <w:rPr>
                <w:rFonts w:ascii="Montserrat" w:eastAsia="Calibri" w:hAnsi="Montserrat"/>
                <w:i/>
                <w:iCs/>
                <w:sz w:val="20"/>
                <w:szCs w:val="20"/>
                <w:lang w:eastAsia="en-US"/>
              </w:rPr>
              <w:t xml:space="preserve">Il y a quelques semaines, l’école organisait </w:t>
            </w:r>
            <w:hyperlink r:id="rId10" w:history="1">
              <w:r>
                <w:rPr>
                  <w:rStyle w:val="Lienhypertexte"/>
                  <w:rFonts w:ascii="Montserrat" w:eastAsia="Calibri" w:hAnsi="Montserrat"/>
                  <w:i/>
                  <w:iCs/>
                  <w:sz w:val="20"/>
                  <w:szCs w:val="20"/>
                  <w:lang w:eastAsia="en-US"/>
                </w:rPr>
                <w:t>la conférence internationale en Finance, Banque et Comptabilité (ICFBA) regroupant 164 Chercheurs du monde entier</w:t>
              </w:r>
            </w:hyperlink>
            <w:r>
              <w:rPr>
                <w:rFonts w:ascii="Montserrat" w:eastAsia="Calibri" w:hAnsi="Montserrat"/>
                <w:i/>
                <w:iCs/>
                <w:sz w:val="20"/>
                <w:szCs w:val="20"/>
                <w:lang w:eastAsia="en-US"/>
              </w:rPr>
              <w:t xml:space="preserve">, permettant d’aborder en détails l’ensemble des sujets contemporains du monde financier (régulations des marchés, critères ESG, risques financiers…) et démontrant la pertinence de la Recherche et des </w:t>
            </w:r>
            <w:hyperlink r:id="rId11" w:history="1">
              <w:r>
                <w:rPr>
                  <w:rStyle w:val="Lienhypertexte"/>
                  <w:rFonts w:ascii="Montserrat" w:eastAsia="Calibri" w:hAnsi="Montserrat"/>
                  <w:i/>
                  <w:iCs/>
                  <w:sz w:val="20"/>
                  <w:szCs w:val="20"/>
                  <w:lang w:eastAsia="en-US"/>
                </w:rPr>
                <w:t>Chaires</w:t>
              </w:r>
            </w:hyperlink>
            <w:r>
              <w:rPr>
                <w:rFonts w:ascii="Montserrat" w:eastAsia="Calibri" w:hAnsi="Montserrat"/>
                <w:i/>
                <w:iCs/>
                <w:sz w:val="20"/>
                <w:szCs w:val="20"/>
                <w:lang w:eastAsia="en-US"/>
              </w:rPr>
              <w:t xml:space="preserve"> de MBS sur ces enjeux. La réforme du programme </w:t>
            </w:r>
            <w:proofErr w:type="spellStart"/>
            <w:r>
              <w:rPr>
                <w:rFonts w:ascii="Montserrat" w:eastAsia="Calibri" w:hAnsi="Montserrat"/>
                <w:i/>
                <w:iCs/>
                <w:sz w:val="20"/>
                <w:szCs w:val="20"/>
                <w:lang w:eastAsia="en-US"/>
              </w:rPr>
              <w:t>MSc</w:t>
            </w:r>
            <w:proofErr w:type="spellEnd"/>
            <w:r>
              <w:rPr>
                <w:rFonts w:ascii="Montserrat" w:eastAsia="Calibri" w:hAnsi="Montserrat"/>
                <w:i/>
                <w:iCs/>
                <w:sz w:val="20"/>
                <w:szCs w:val="20"/>
                <w:lang w:eastAsia="en-US"/>
              </w:rPr>
              <w:t xml:space="preserve"> Global Finance</w:t>
            </w:r>
            <w:r>
              <w:rPr>
                <w:rFonts w:ascii="Montserrat" w:eastAsia="Calibri" w:hAnsi="Montserrat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Montserrat" w:eastAsia="Calibri" w:hAnsi="Montserrat"/>
                <w:i/>
                <w:iCs/>
                <w:sz w:val="20"/>
                <w:szCs w:val="20"/>
                <w:lang w:eastAsia="en-US"/>
              </w:rPr>
              <w:t xml:space="preserve">in a </w:t>
            </w:r>
            <w:proofErr w:type="spellStart"/>
            <w:r>
              <w:rPr>
                <w:rFonts w:ascii="Montserrat" w:eastAsia="Calibri" w:hAnsi="Montserrat"/>
                <w:i/>
                <w:iCs/>
                <w:sz w:val="20"/>
                <w:szCs w:val="20"/>
                <w:lang w:eastAsia="en-US"/>
              </w:rPr>
              <w:t>Sustainable</w:t>
            </w:r>
            <w:proofErr w:type="spellEnd"/>
            <w:r>
              <w:rPr>
                <w:rFonts w:ascii="Montserrat" w:eastAsia="Calibri" w:hAnsi="Montserrat"/>
                <w:i/>
                <w:iCs/>
                <w:sz w:val="20"/>
                <w:szCs w:val="20"/>
                <w:lang w:eastAsia="en-US"/>
              </w:rPr>
              <w:t xml:space="preserve"> World fait écho à cette expertise et s’inscrit donc dans la continuité de notre engagement de </w:t>
            </w:r>
            <w:r>
              <w:rPr>
                <w:rFonts w:ascii="Montserrat" w:eastAsia="Calibri" w:hAnsi="Montserrat"/>
                <w:b/>
                <w:bCs/>
                <w:i/>
                <w:iCs/>
                <w:sz w:val="20"/>
                <w:szCs w:val="20"/>
                <w:lang w:eastAsia="en-US"/>
              </w:rPr>
              <w:t>former les leaders de la transition</w:t>
            </w:r>
            <w:r>
              <w:rPr>
                <w:rFonts w:ascii="Montserrat" w:eastAsia="Calibri" w:hAnsi="Montserrat"/>
                <w:i/>
                <w:iCs/>
                <w:sz w:val="20"/>
                <w:szCs w:val="20"/>
                <w:lang w:eastAsia="en-US"/>
              </w:rPr>
              <w:t xml:space="preserve">. » </w:t>
            </w:r>
            <w:r>
              <w:rPr>
                <w:rFonts w:ascii="Montserrat" w:eastAsia="Calibri" w:hAnsi="Montserrat"/>
                <w:sz w:val="20"/>
                <w:szCs w:val="20"/>
                <w:lang w:eastAsia="en-US"/>
              </w:rPr>
              <w:t xml:space="preserve">conclut Bruno Ducasse, Directeur Général de MBS. </w:t>
            </w:r>
          </w:p>
        </w:tc>
      </w:tr>
      <w:tr w:rsidR="00BB5179" w14:paraId="7EB1BAD9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1B10C" w14:textId="77777777" w:rsidR="00BB5179" w:rsidRDefault="00BB5179">
            <w:pPr>
              <w:spacing w:after="0" w:line="240" w:lineRule="auto"/>
              <w:jc w:val="both"/>
              <w:rPr>
                <w:rFonts w:ascii="Montserrat" w:hAnsi="Montserrat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B5179" w14:paraId="252E8DB9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A1E75" w14:textId="77777777" w:rsidR="00BB5179" w:rsidRDefault="00000000">
            <w:pPr>
              <w:pStyle w:val="Sansinterligne"/>
              <w:jc w:val="center"/>
            </w:pPr>
            <w:r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 wp14:anchorId="690FF0CB" wp14:editId="239599DA">
                  <wp:extent cx="1293382" cy="895417"/>
                  <wp:effectExtent l="0" t="0" r="2018" b="0"/>
                  <wp:docPr id="1598643009" name="Image 2" descr="Une image contenant Police, logo, Graphique, symbole&#10;&#10;Description générée automatiqueme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382" cy="895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4F3038" w14:textId="77777777" w:rsidR="00BB5179" w:rsidRDefault="00BB5179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14:paraId="7FF99348" w14:textId="77777777" w:rsidR="00BB5179" w:rsidRDefault="00000000">
            <w:pPr>
              <w:pStyle w:val="Sansinterligne"/>
              <w:jc w:val="both"/>
              <w:rPr>
                <w:rFonts w:ascii="Montserrat" w:hAnsi="Montserrat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Montserrat" w:hAnsi="Montserrat"/>
                <w:b/>
                <w:bCs/>
                <w:sz w:val="16"/>
                <w:szCs w:val="16"/>
                <w:lang w:val="en-US"/>
              </w:rPr>
              <w:t xml:space="preserve">A </w:t>
            </w:r>
            <w:proofErr w:type="spellStart"/>
            <w:r>
              <w:rPr>
                <w:rFonts w:ascii="Montserrat" w:hAnsi="Montserrat"/>
                <w:b/>
                <w:bCs/>
                <w:sz w:val="16"/>
                <w:szCs w:val="16"/>
                <w:lang w:val="en-US"/>
              </w:rPr>
              <w:t>propos</w:t>
            </w:r>
            <w:proofErr w:type="spellEnd"/>
            <w:r>
              <w:rPr>
                <w:rFonts w:ascii="Montserrat" w:hAnsi="Montserrat"/>
                <w:b/>
                <w:bCs/>
                <w:sz w:val="16"/>
                <w:szCs w:val="16"/>
                <w:lang w:val="en-US"/>
              </w:rPr>
              <w:t xml:space="preserve"> de Montpellier Business School </w:t>
            </w:r>
          </w:p>
          <w:p w14:paraId="2494212D" w14:textId="77777777" w:rsidR="00BB5179" w:rsidRDefault="00000000">
            <w:pPr>
              <w:pStyle w:val="Sansinterligne"/>
              <w:jc w:val="both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Grande école de management engagée et inclusive, MBS (Montpellier Business </w:t>
            </w:r>
            <w:proofErr w:type="spellStart"/>
            <w:r>
              <w:rPr>
                <w:rFonts w:ascii="Montserrat" w:hAnsi="Montserrat"/>
                <w:sz w:val="16"/>
                <w:szCs w:val="16"/>
              </w:rPr>
              <w:t>School</w:t>
            </w:r>
            <w:proofErr w:type="spellEnd"/>
            <w:r>
              <w:rPr>
                <w:rFonts w:ascii="Montserrat" w:hAnsi="Montserrat"/>
                <w:sz w:val="16"/>
                <w:szCs w:val="16"/>
              </w:rPr>
              <w:t>) forme les précurseurs de la transition économique responsable.</w:t>
            </w:r>
          </w:p>
          <w:p w14:paraId="61C9841A" w14:textId="77777777" w:rsidR="00BB5179" w:rsidRDefault="00000000">
            <w:pPr>
              <w:pStyle w:val="Sansinterligne"/>
              <w:jc w:val="both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Sa gamme de formations s’étend de Bac+3 à Bac+8 : </w:t>
            </w:r>
            <w:proofErr w:type="spellStart"/>
            <w:r>
              <w:rPr>
                <w:rFonts w:ascii="Montserrat" w:hAnsi="Montserrat"/>
                <w:sz w:val="16"/>
                <w:szCs w:val="16"/>
              </w:rPr>
              <w:t>Bachelor</w:t>
            </w:r>
            <w:proofErr w:type="spellEnd"/>
            <w:r>
              <w:rPr>
                <w:rFonts w:ascii="Montserrat" w:hAnsi="Montserrat"/>
                <w:sz w:val="16"/>
                <w:szCs w:val="16"/>
              </w:rPr>
              <w:t xml:space="preserve">, Grande Ecole, Masters of Sciences, </w:t>
            </w:r>
            <w:proofErr w:type="spellStart"/>
            <w:r>
              <w:rPr>
                <w:rFonts w:ascii="Montserrat" w:hAnsi="Montserrat"/>
                <w:sz w:val="16"/>
                <w:szCs w:val="16"/>
              </w:rPr>
              <w:t>Executive</w:t>
            </w:r>
            <w:proofErr w:type="spellEnd"/>
            <w:r>
              <w:rPr>
                <w:rFonts w:ascii="Montserrat" w:hAnsi="Montserrat"/>
                <w:sz w:val="16"/>
                <w:szCs w:val="16"/>
              </w:rPr>
              <w:t xml:space="preserve"> MBA, </w:t>
            </w:r>
            <w:proofErr w:type="spellStart"/>
            <w:r>
              <w:rPr>
                <w:rFonts w:ascii="Montserrat" w:hAnsi="Montserrat"/>
                <w:sz w:val="16"/>
                <w:szCs w:val="16"/>
              </w:rPr>
              <w:t>Executive</w:t>
            </w:r>
            <w:proofErr w:type="spellEnd"/>
            <w:r>
              <w:rPr>
                <w:rFonts w:ascii="Montserrat" w:hAnsi="Montserrat"/>
                <w:sz w:val="16"/>
                <w:szCs w:val="16"/>
              </w:rPr>
              <w:t xml:space="preserve"> DDBA. </w:t>
            </w:r>
          </w:p>
          <w:p w14:paraId="0ADDC199" w14:textId="77777777" w:rsidR="00BB5179" w:rsidRDefault="00000000">
            <w:pPr>
              <w:pStyle w:val="Sansinterligne"/>
              <w:jc w:val="both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Grande école parmi les grandes, MBS appartient au cercle des 1% de business </w:t>
            </w:r>
            <w:proofErr w:type="spellStart"/>
            <w:r>
              <w:rPr>
                <w:rFonts w:ascii="Montserrat" w:hAnsi="Montserrat"/>
                <w:sz w:val="16"/>
                <w:szCs w:val="16"/>
              </w:rPr>
              <w:t>schools</w:t>
            </w:r>
            <w:proofErr w:type="spellEnd"/>
            <w:r>
              <w:rPr>
                <w:rFonts w:ascii="Montserrat" w:hAnsi="Montserrat"/>
                <w:sz w:val="16"/>
                <w:szCs w:val="16"/>
              </w:rPr>
              <w:t xml:space="preserve"> mondiales détentrices des trois plus prestigieuses accréditations AACSB, EFMD-EQUIS, AMBA.</w:t>
            </w:r>
          </w:p>
          <w:p w14:paraId="7858D07D" w14:textId="77777777" w:rsidR="00BB5179" w:rsidRDefault="00000000">
            <w:pPr>
              <w:pStyle w:val="Sansinterligne"/>
              <w:jc w:val="both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Grande par son ouverture internationale, MBS accueille 110 nationalités, et propose près de 190 destinations internationales à ses étudiants. </w:t>
            </w:r>
          </w:p>
          <w:p w14:paraId="02433750" w14:textId="77777777" w:rsidR="00BB5179" w:rsidRDefault="00000000">
            <w:pPr>
              <w:pStyle w:val="Sansinterligne"/>
              <w:jc w:val="both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Grande école qui donne les plus grandes chances, pionnière de l’ouverture sociale et leader de l’alternance, MBS est la grande école de management experte de la professionnalisation. </w:t>
            </w:r>
          </w:p>
          <w:p w14:paraId="67AD9AC1" w14:textId="77777777" w:rsidR="00BB5179" w:rsidRDefault="00000000">
            <w:pPr>
              <w:pStyle w:val="Sansinterligne"/>
              <w:jc w:val="both"/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sz w:val="16"/>
                <w:szCs w:val="16"/>
              </w:rPr>
              <w:t xml:space="preserve">Grande par ses engagements, codétentrice des labels Diversité et Egalité professionnelle femme-hommes, MBS intègre la RSE (responsabilité sociale et environnementale) dans tous ses enseignements. </w:t>
            </w:r>
          </w:p>
          <w:p w14:paraId="0A16BBC8" w14:textId="77777777" w:rsidR="00BB5179" w:rsidRDefault="00000000">
            <w:pPr>
              <w:spacing w:after="0" w:line="240" w:lineRule="auto"/>
            </w:pPr>
            <w:hyperlink r:id="rId13" w:history="1">
              <w:r>
                <w:rPr>
                  <w:rStyle w:val="Lienhypertexte"/>
                  <w:rFonts w:ascii="Montserrat" w:hAnsi="Montserrat"/>
                  <w:sz w:val="16"/>
                  <w:szCs w:val="16"/>
                </w:rPr>
                <w:t>www.montpellier-bs.com</w:t>
              </w:r>
            </w:hyperlink>
          </w:p>
        </w:tc>
      </w:tr>
      <w:tr w:rsidR="00BB5179" w14:paraId="2404D0E0" w14:textId="77777777">
        <w:tblPrEx>
          <w:tblCellMar>
            <w:top w:w="0" w:type="dxa"/>
            <w:bottom w:w="0" w:type="dxa"/>
          </w:tblCellMar>
        </w:tblPrEx>
        <w:tc>
          <w:tcPr>
            <w:tcW w:w="9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B02D" w14:textId="77777777" w:rsidR="00BB5179" w:rsidRDefault="00BB5179">
            <w:pPr>
              <w:pStyle w:val="Sansinterligne"/>
              <w:rPr>
                <w:rFonts w:ascii="Montserrat" w:hAnsi="Montserrat"/>
                <w:b/>
                <w:bCs/>
                <w:sz w:val="16"/>
                <w:szCs w:val="16"/>
              </w:rPr>
            </w:pPr>
          </w:p>
          <w:p w14:paraId="3D166A24" w14:textId="77777777" w:rsidR="00BB5179" w:rsidRDefault="00000000">
            <w:pPr>
              <w:pStyle w:val="Sansinterligne"/>
            </w:pPr>
            <w:r>
              <w:rPr>
                <w:rFonts w:ascii="Montserrat" w:hAnsi="Montserrat"/>
                <w:b/>
                <w:bCs/>
                <w:sz w:val="16"/>
                <w:szCs w:val="16"/>
              </w:rPr>
              <w:t xml:space="preserve">Contacts Presse : </w:t>
            </w:r>
            <w:r>
              <w:rPr>
                <w:rFonts w:ascii="Montserrat" w:hAnsi="Montserrat"/>
                <w:sz w:val="16"/>
                <w:szCs w:val="16"/>
              </w:rPr>
              <w:t xml:space="preserve">Myriam </w:t>
            </w:r>
            <w:proofErr w:type="spellStart"/>
            <w:proofErr w:type="gramStart"/>
            <w:r>
              <w:rPr>
                <w:rFonts w:ascii="Montserrat" w:hAnsi="Montserrat"/>
                <w:sz w:val="16"/>
                <w:szCs w:val="16"/>
              </w:rPr>
              <w:t>Boukaïa</w:t>
            </w:r>
            <w:proofErr w:type="spellEnd"/>
            <w:r>
              <w:rPr>
                <w:rFonts w:ascii="Montserrat" w:hAnsi="Montserrat"/>
                <w:sz w:val="16"/>
                <w:szCs w:val="16"/>
              </w:rPr>
              <w:t>:</w:t>
            </w:r>
            <w:proofErr w:type="gramEnd"/>
            <w:r>
              <w:rPr>
                <w:rFonts w:ascii="Montserrat" w:hAnsi="Montserr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Montserrat" w:hAnsi="Montserrat"/>
                <w:sz w:val="16"/>
                <w:szCs w:val="16"/>
              </w:rPr>
              <w:t>mboukaia@madamemonsieur.agency</w:t>
            </w:r>
            <w:proofErr w:type="spellEnd"/>
            <w:r>
              <w:rPr>
                <w:rFonts w:ascii="Montserrat" w:hAnsi="Montserrat"/>
                <w:sz w:val="16"/>
                <w:szCs w:val="16"/>
              </w:rPr>
              <w:t xml:space="preserve"> // 07.50.69.52.56</w:t>
            </w:r>
          </w:p>
          <w:p w14:paraId="1FF2BEF9" w14:textId="77777777" w:rsidR="00BB5179" w:rsidRDefault="00BB5179">
            <w:pPr>
              <w:pStyle w:val="Sansinterligne"/>
              <w:rPr>
                <w:rFonts w:ascii="Montserrat" w:hAnsi="Montserrat"/>
                <w:sz w:val="16"/>
                <w:szCs w:val="16"/>
              </w:rPr>
            </w:pPr>
          </w:p>
          <w:p w14:paraId="3E950C68" w14:textId="77777777" w:rsidR="00BB5179" w:rsidRDefault="00BB5179">
            <w:pPr>
              <w:pStyle w:val="Sansinterligne"/>
              <w:rPr>
                <w:rFonts w:ascii="Montserrat" w:hAnsi="Montserrat"/>
                <w:sz w:val="16"/>
                <w:szCs w:val="16"/>
              </w:rPr>
            </w:pPr>
          </w:p>
          <w:p w14:paraId="7709C33A" w14:textId="77777777" w:rsidR="00BB5179" w:rsidRDefault="00BB5179">
            <w:pPr>
              <w:pStyle w:val="Sansinterligne"/>
              <w:rPr>
                <w:rFonts w:ascii="Montserrat" w:hAnsi="Montserrat"/>
                <w:sz w:val="16"/>
                <w:szCs w:val="16"/>
              </w:rPr>
            </w:pPr>
          </w:p>
          <w:p w14:paraId="4C9372EB" w14:textId="77777777" w:rsidR="00BB5179" w:rsidRDefault="00BB5179">
            <w:pPr>
              <w:pStyle w:val="Sansinterligne"/>
              <w:rPr>
                <w:rFonts w:ascii="Montserrat" w:hAnsi="Montserrat"/>
                <w:sz w:val="16"/>
                <w:szCs w:val="16"/>
              </w:rPr>
            </w:pPr>
          </w:p>
          <w:p w14:paraId="4FAC7C1C" w14:textId="77777777" w:rsidR="00BB5179" w:rsidRDefault="00BB5179">
            <w:pPr>
              <w:pStyle w:val="Sansinterligne"/>
              <w:rPr>
                <w:rFonts w:ascii="Montserrat" w:hAnsi="Montserrat"/>
                <w:sz w:val="16"/>
                <w:szCs w:val="16"/>
              </w:rPr>
            </w:pPr>
          </w:p>
          <w:p w14:paraId="272216BD" w14:textId="77777777" w:rsidR="00BB5179" w:rsidRDefault="00BB5179">
            <w:pPr>
              <w:pStyle w:val="Sansinterligne"/>
              <w:rPr>
                <w:rFonts w:ascii="Montserrat" w:hAnsi="Montserrat"/>
                <w:sz w:val="16"/>
                <w:szCs w:val="16"/>
              </w:rPr>
            </w:pPr>
          </w:p>
          <w:p w14:paraId="61CF1EF5" w14:textId="77777777" w:rsidR="00BB5179" w:rsidRDefault="00BB5179">
            <w:pPr>
              <w:pStyle w:val="Sansinterligne"/>
              <w:rPr>
                <w:rFonts w:ascii="Montserrat" w:hAnsi="Montserrat"/>
                <w:sz w:val="16"/>
                <w:szCs w:val="16"/>
              </w:rPr>
            </w:pPr>
          </w:p>
          <w:p w14:paraId="61E39616" w14:textId="77777777" w:rsidR="00BB5179" w:rsidRDefault="00BB5179">
            <w:pPr>
              <w:pStyle w:val="Sansinterligne"/>
              <w:rPr>
                <w:rFonts w:ascii="Montserrat" w:hAnsi="Montserrat"/>
                <w:sz w:val="16"/>
                <w:szCs w:val="16"/>
              </w:rPr>
            </w:pPr>
          </w:p>
          <w:p w14:paraId="7301B835" w14:textId="77777777" w:rsidR="00BB5179" w:rsidRDefault="00BB5179">
            <w:pPr>
              <w:pStyle w:val="Sansinterligne"/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67CDF285" w14:textId="77777777" w:rsidR="00BB5179" w:rsidRDefault="00BB5179">
      <w:bookmarkStart w:id="0" w:name="_Hlk51766686"/>
      <w:bookmarkEnd w:id="0"/>
    </w:p>
    <w:p w14:paraId="62DDCDA7" w14:textId="77777777" w:rsidR="00BB5179" w:rsidRDefault="00BB5179"/>
    <w:sectPr w:rsidR="00BB5179">
      <w:pgSz w:w="11906" w:h="16838"/>
      <w:pgMar w:top="1417" w:right="1417" w:bottom="942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8D9FE" w14:textId="77777777" w:rsidR="001D59EA" w:rsidRDefault="001D59EA">
      <w:pPr>
        <w:spacing w:after="0" w:line="240" w:lineRule="auto"/>
      </w:pPr>
      <w:r>
        <w:separator/>
      </w:r>
    </w:p>
  </w:endnote>
  <w:endnote w:type="continuationSeparator" w:id="0">
    <w:p w14:paraId="2199A3F8" w14:textId="77777777" w:rsidR="001D59EA" w:rsidRDefault="001D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5021F" w14:textId="77777777" w:rsidR="001D59EA" w:rsidRDefault="001D59E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22046E" w14:textId="77777777" w:rsidR="001D59EA" w:rsidRDefault="001D59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B5179"/>
    <w:rsid w:val="000A465F"/>
    <w:rsid w:val="001D59EA"/>
    <w:rsid w:val="00BB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C07C"/>
  <w15:docId w15:val="{C1265234-6FD2-4C0A-9159-A22148CD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libri Light" w:hAnsi="Calibri Light"/>
      <w:kern w:val="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eastAsia="Times New Roman"/>
      <w:color w:val="2F5496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rPr>
      <w:rFonts w:ascii="Calibri Light" w:eastAsia="Times New Roman" w:hAnsi="Calibri Light" w:cs="Times New Roman"/>
      <w:color w:val="2F5496"/>
      <w:kern w:val="0"/>
      <w:sz w:val="26"/>
      <w:szCs w:val="26"/>
    </w:rPr>
  </w:style>
  <w:style w:type="paragraph" w:styleId="Sansinterligne">
    <w:name w:val="No Spacing"/>
    <w:pPr>
      <w:suppressAutoHyphens/>
      <w:spacing w:after="0" w:line="240" w:lineRule="auto"/>
    </w:pPr>
    <w:rPr>
      <w:rFonts w:ascii="Calibri Light" w:hAnsi="Calibri Light"/>
      <w:kern w:val="0"/>
    </w:rPr>
  </w:style>
  <w:style w:type="character" w:styleId="Lienhypertexte">
    <w:name w:val="Hyperlink"/>
    <w:basedOn w:val="Policepardfaut"/>
    <w:rPr>
      <w:color w:val="0563C1"/>
      <w:u w:val="single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Accentuation">
    <w:name w:val="Emphasis"/>
    <w:basedOn w:val="Policepardfaut"/>
    <w:rPr>
      <w:i/>
      <w:iCs/>
    </w:rPr>
  </w:style>
  <w:style w:type="paragraph" w:styleId="Titre">
    <w:name w:val="Title"/>
    <w:basedOn w:val="Normal"/>
    <w:next w:val="Normal"/>
    <w:uiPriority w:val="10"/>
    <w:qFormat/>
    <w:pPr>
      <w:spacing w:after="0" w:line="240" w:lineRule="auto"/>
      <w:contextualSpacing/>
    </w:pPr>
    <w:rPr>
      <w:rFonts w:eastAsia="Times New Roman"/>
      <w:spacing w:val="-10"/>
      <w:kern w:val="3"/>
      <w:sz w:val="56"/>
      <w:szCs w:val="56"/>
    </w:rPr>
  </w:style>
  <w:style w:type="character" w:customStyle="1" w:styleId="TitreCar">
    <w:name w:val="Titre Car"/>
    <w:basedOn w:val="Policepardfau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tpellier-bs.com/programmes-formations/programmes-master-of-science/msc-business-strategy/msc-complex-project-management/" TargetMode="External"/><Relationship Id="rId13" Type="http://schemas.openxmlformats.org/officeDocument/2006/relationships/hyperlink" Target="http://www.montpellier-b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ontpellier-bs.com/programmes-formations/programmes-master-of-science/procedure-admission/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montpellier-bs.com/faculte-recherche/faculte-et-departements/centres-chaires-mbs/chaire-finance-sociale-durable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montpellier-bs.com/actualites/mbs-choisie-pour-accueillir-la-conference-internationale-en-finance-banque-et-comptabilite-icfba-regroupant-164-chercheurs-du-monde-entie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ontpellier-bs.com/programmes-formations/programmes-master-of-science/msc-finance/msc-global-finance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Communication</dc:creator>
  <dc:description/>
  <cp:lastModifiedBy>Direction Communication</cp:lastModifiedBy>
  <cp:revision>2</cp:revision>
  <dcterms:created xsi:type="dcterms:W3CDTF">2023-11-09T10:42:00Z</dcterms:created>
  <dcterms:modified xsi:type="dcterms:W3CDTF">2023-11-09T10:42:00Z</dcterms:modified>
</cp:coreProperties>
</file>